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财政部 国家税务总局关于小型微利企业所得税优惠政策有关问题的通知</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财税〔2014〕34号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成文日期：2014-04-08</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各省、自治区、直辖市、计划单列市财政厅（局）、国家税务局、地方税务局，新疆生产建设兵团财务局：</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为了进一步支持小型微利企业发展，经国务院批准，现就小型微利企业所得税政策通知如下：</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一、自2014年1月1日至2016年12月31日，对年应纳税所得额低于10万元（含10万元）的小型微利企业，其所得减按50％计入应纳税所得额，按20%的税率缴纳企业所得税。</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二、本通知所称小型微利企业，是指符合《中华人民共和国企业所得税法》及其实施条例以及相关税收政策规定的小型微利企业。</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请遵照执行。</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2014年4月8日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"http://www.chinatax.gov.cn/n2226/n2271/n2273/c688798/content.html"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财政部税政司 国家税务总局所得税司有关负责人 </w:t>
            </w:r>
            <w:r>
              <w:rPr>
                <w:rFonts w:hint="eastAsia" w:ascii="微软雅黑" w:hAnsi="微软雅黑" w:eastAsia="微软雅黑" w:cs="微软雅黑"/>
                <w:b/>
                <w:bCs/>
                <w:color w:val="003A94"/>
                <w:kern w:val="0"/>
                <w:sz w:val="32"/>
                <w:szCs w:val="32"/>
              </w:rPr>
              <w:br/>
            </w:r>
            <w:r>
              <w:rPr>
                <w:rFonts w:hint="eastAsia" w:ascii="微软雅黑" w:hAnsi="微软雅黑" w:eastAsia="微软雅黑" w:cs="微软雅黑"/>
                <w:b/>
                <w:bCs/>
                <w:color w:val="003A94"/>
                <w:kern w:val="0"/>
                <w:sz w:val="32"/>
                <w:szCs w:val="32"/>
              </w:rPr>
              <w:t xml:space="preserve">就小型微利企业减半征收企业所得税优惠政策答记者问 </w:t>
            </w:r>
          </w:p>
        </w:tc>
      </w:tr>
    </w:tbl>
    <w:p>
      <w:pPr>
        <w:widowControl/>
        <w:spacing w:line="360" w:lineRule="atLeast"/>
        <w:jc w:val="left"/>
        <w:rPr>
          <w:rFonts w:hint="eastAsia" w:ascii="微软雅黑" w:hAnsi="微软雅黑" w:eastAsia="微软雅黑" w:cs="微软雅黑"/>
          <w:vanish/>
          <w:color w:val="000000"/>
          <w:kern w:val="0"/>
          <w:sz w:val="18"/>
          <w:szCs w:val="18"/>
        </w:rPr>
      </w:pPr>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发布日期：2014年04月08日 来源：财政部新闻办公室 国家税务总局新闻办公室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1.问：此次出台对小微企业的优惠政策主要内容是什么？</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答：此次出台的优惠政策，自2014年1月1日起，将享受减半征收企业所得税优惠政策的小型微利企业范围由年应纳税所得额低于6万元（含6万元）扩大到年应纳税所得额低于10万元（含10万元），执行期限截至2016年12月31日，即：自2014年1月1日至2016年12月31日，对年应纳税所得额低于10万元（含10万元）的小型微利企业，其所得减按50％计入应纳税所得额，按20％的税率缴纳企业所得税。</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2.问：为什么要扩大小型微利企业减半征收企业所得税优惠政策实施范围？</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答：中小企业是推动国民经济发展和促进市场繁荣的重要力量。为扶持中小企业特别是小微企业的发展，近年来，国家先后出台了一系列税收优惠政策，具体包括：对符合条件的小型微利企业给予减按20％的税率征收企业所得税；在对年应纳税所得额低于6万元（含6万元）的小型微利企业减按20%税率缴纳企业所得税的基础上，其所得减按50%计入应纳税所得额；在全面实施增值税转型改革的基础上，降低增值税小规模纳税人的征收率（自6％和4％统一降至3%）；统一并提高了增值税和营业税的起征点（提高至2万元）；实施了金融企业中小企业贷款损失准备金税前扣除政策和符合条件的农村金融机构营业税优惠政策；免征了金融机构对小微企业贷款印花税；将符合条件的国家中小企业公共技术服务示范平台纳入现行科技开发用品进口税收优惠政策的享受主体范围等，有力减轻了中小企业税负负担，促进了中小企业发展。</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李克强总理在2014年政府工作报告中提出，要“进一步扩展小微企业税收优惠范围，减轻企业负担”。当前国内外经济环境仍十分复杂，为保持我国经济平稳较快发展，在继续贯彻落实好现行中小企业税收优惠政策的同时，有必要进一步加大对小型微利企业的税收扶持力度，以充分发挥小型微利企业在推动经济发展、促进社会就业等方面的积极作用。</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3.问：优惠范围为何选定年应纳税所得额低于10万元（含）的小型微利企业？</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答：首先，小型微利企业界定标准是在内外资企业“两法合并”时确定的。这一标准借鉴了国际经验，也与相关部门和专家进行了研究，同时，还考虑了国家税收收入和企业利益等因素。这次出台的优惠政策以这一标准为基础，能较好的体现进一步加大对小型微型企业支持力度的政策导向。</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其次，企业所得税法及其实施条例对小型微利企业的标准已做出了明确规定，各级税务征管机关只需在符合条件的小型微利企业中，根据企业年应纳税所得额进行界定即可。这样，该项优惠政策无需制定新的认定标准，便于基层税务机关操作。</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此外，现行年应纳税所得额低于6万元（含）的小型微利企业减半征收企业所得税的优惠政策，对推动小型微利企业发展起到了积极作用。考虑到目前国内外经济环境比较复杂，小微企业面临的困难也比较大，需要国家进一步给予政策支持。因此，将优惠范围扩大到年应纳税所得额低于10万元（含）的小型微利企业，体现了国家继续加大对中小企业扶持力度的精神，也进一步降低了小微企业的税负。</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4.问：目前已经是2014年4月份，是否会对优惠政策从2014年1月1日起实施造成影响？</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答：按照《中华人民共和国企业所得税法》（以下简称企业所得税法）的规定，企业所得税实行按年计算、分月或分季预缴、年终汇算清缴的征管方式。2014年度的企业所得税将在2015年5月底前进行汇算清缴，并结清应缴应退税款。因此，此项优惠政策出台时虽已到2014年4月份，但不影响符合条件的企业从2014年1月1日起享受该项优惠政策。</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5.问：优惠政策截止期限是如何确定的？</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答：现行年应纳税所得额低于6万元（含）的小型微利企业减半征收企业所得税优惠政策出台前，国家曾连续两次出台小型微利企业减半征收企业所得税优惠政策，均为一年，优惠期限较短。因此，现行减半征收企业所得税优惠政策的执行期限为四年，从2012年1月1日至2015年12月31日。此次进一步加大小微企业扶持力度的优惠政策适当延长执行期限，从2014年1月1日截至2016年12月31日。</w:t>
            </w:r>
          </w:p>
        </w:tc>
      </w:tr>
    </w:tbl>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3</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3</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E78AB"/>
    <w:rsid w:val="002E78AB"/>
    <w:rsid w:val="00B06FD7"/>
    <w:rsid w:val="00DE5CF4"/>
    <w:rsid w:val="026C562B"/>
    <w:rsid w:val="43FF667D"/>
    <w:rsid w:val="44C20260"/>
    <w:rsid w:val="52C678D7"/>
    <w:rsid w:val="564D6C28"/>
    <w:rsid w:val="63EC3B7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407</Words>
  <Characters>2320</Characters>
  <Lines>19</Lines>
  <Paragraphs>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2014-08-28T10:17:00Z</dcterms:created>
  <dc:creator>xupx</dc:creator>
  <cp:lastModifiedBy>Administrator</cp:lastModifiedBy>
  <cp:lastPrinted>2014-08-29T10:31:00Z</cp:lastPrinted>
  <dcterms:modified xsi:type="dcterms:W3CDTF">2015-04-15T01:37:23Z</dcterms:modified>
  <dc:title>财政部 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